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5C" w:rsidRPr="00F6115C" w:rsidRDefault="00F6115C" w:rsidP="00F6115C">
      <w:pPr>
        <w:pBdr>
          <w:bottom w:val="single" w:sz="6" w:space="1" w:color="auto"/>
        </w:pBdr>
        <w:spacing w:after="0" w:line="240" w:lineRule="auto"/>
        <w:jc w:val="center"/>
        <w:rPr>
          <w:rFonts w:ascii="Arial" w:eastAsia="Times New Roman" w:hAnsi="Arial" w:cs="Arial"/>
          <w:vanish/>
          <w:sz w:val="16"/>
          <w:szCs w:val="16"/>
          <w:lang w:eastAsia="pl-PL"/>
        </w:rPr>
      </w:pPr>
      <w:r w:rsidRPr="00F6115C">
        <w:rPr>
          <w:rFonts w:ascii="Arial" w:eastAsia="Times New Roman" w:hAnsi="Arial" w:cs="Arial"/>
          <w:vanish/>
          <w:sz w:val="16"/>
          <w:szCs w:val="16"/>
          <w:lang w:eastAsia="pl-PL"/>
        </w:rPr>
        <w:t>Początek formularza</w:t>
      </w:r>
    </w:p>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F6115C">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F6115C">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F6115C">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F6115C">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F6115C" w:rsidRPr="00F6115C" w:rsidRDefault="00F6115C" w:rsidP="00F6115C">
      <w:pPr>
        <w:spacing w:after="24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pic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Ogłoszenie nr 569271-N-2019 z dnia 2019-07-04 r. </w:t>
      </w:r>
    </w:p>
    <w:p w:rsidR="00F6115C" w:rsidRPr="00F6115C" w:rsidRDefault="00F6115C" w:rsidP="00F6115C">
      <w:pPr>
        <w:spacing w:after="0" w:line="450" w:lineRule="atLeast"/>
        <w:jc w:val="center"/>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lang w:eastAsia="pl-PL"/>
        </w:rPr>
        <w:t>Akademia Marynarki Wojennej im. Bohaterów Westerplatte: Modernizacja i rozbudowa systemu nagłośnieniowego, wizualizacji i sterowania audytorium Biblioteki Głównej</w:t>
      </w:r>
      <w:r w:rsidRPr="00F6115C">
        <w:rPr>
          <w:rFonts w:ascii="Times New Roman" w:eastAsia="Times New Roman" w:hAnsi="Times New Roman" w:cs="Times New Roman"/>
          <w:b/>
          <w:bCs/>
          <w:sz w:val="27"/>
          <w:szCs w:val="27"/>
          <w:lang w:eastAsia="pl-PL"/>
        </w:rPr>
        <w:br/>
        <w:t xml:space="preserve">OGŁOSZENIE O ZAMÓWIENIU - Dostawy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Zamieszczanie ogłoszenia:</w:t>
      </w:r>
      <w:r w:rsidRPr="00F6115C">
        <w:rPr>
          <w:rFonts w:ascii="Times New Roman" w:eastAsia="Times New Roman" w:hAnsi="Times New Roman" w:cs="Times New Roman"/>
          <w:sz w:val="24"/>
          <w:szCs w:val="24"/>
          <w:lang w:eastAsia="pl-PL"/>
        </w:rPr>
        <w:t xml:space="preserve"> Zamieszczanie obowiązkowe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Ogłoszenie dotyczy:</w:t>
      </w:r>
      <w:r w:rsidRPr="00F6115C">
        <w:rPr>
          <w:rFonts w:ascii="Times New Roman" w:eastAsia="Times New Roman" w:hAnsi="Times New Roman" w:cs="Times New Roman"/>
          <w:sz w:val="24"/>
          <w:szCs w:val="24"/>
          <w:lang w:eastAsia="pl-PL"/>
        </w:rPr>
        <w:t xml:space="preserve"> Zamówienia publicznego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Nazwa projektu lub programu</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u w:val="single"/>
          <w:lang w:eastAsia="pl-PL"/>
        </w:rPr>
        <w:t>SEKCJA I: ZAMAWIAJĄCY</w:t>
      </w:r>
      <w:r w:rsidRPr="00F6115C">
        <w:rPr>
          <w:rFonts w:ascii="Times New Roman" w:eastAsia="Times New Roman" w:hAnsi="Times New Roman" w:cs="Times New Roman"/>
          <w:b/>
          <w:bCs/>
          <w:sz w:val="27"/>
          <w:szCs w:val="27"/>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Postępowanie przeprowadza centralny zamawiający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Informacje na temat podmiotu któremu zamawiający powierzył/powierzyli prowadzenie postępowania:</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Postępowanie jest przeprowadzane wspólnie przez zamawiających</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Informacje dodatkowe:</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 1) NAZWA I ADRES: </w:t>
      </w:r>
      <w:r w:rsidRPr="00F6115C">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F6115C">
        <w:rPr>
          <w:rFonts w:ascii="Times New Roman" w:eastAsia="Times New Roman" w:hAnsi="Times New Roman" w:cs="Times New Roman"/>
          <w:sz w:val="24"/>
          <w:szCs w:val="24"/>
          <w:lang w:eastAsia="pl-PL"/>
        </w:rPr>
        <w:br/>
        <w:t xml:space="preserve">Adres strony internetowej (URL): www.amw.gdynia.pl </w:t>
      </w:r>
      <w:r w:rsidRPr="00F6115C">
        <w:rPr>
          <w:rFonts w:ascii="Times New Roman" w:eastAsia="Times New Roman" w:hAnsi="Times New Roman" w:cs="Times New Roman"/>
          <w:sz w:val="24"/>
          <w:szCs w:val="24"/>
          <w:lang w:eastAsia="pl-PL"/>
        </w:rPr>
        <w:br/>
        <w:t xml:space="preserve">Adres profilu nabywcy: www.amw.gdynia.pl </w:t>
      </w:r>
      <w:r w:rsidRPr="00F611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 2) RODZAJ ZAMAWIAJĄCEGO: </w:t>
      </w:r>
      <w:r w:rsidRPr="00F6115C">
        <w:rPr>
          <w:rFonts w:ascii="Times New Roman" w:eastAsia="Times New Roman" w:hAnsi="Times New Roman" w:cs="Times New Roman"/>
          <w:sz w:val="24"/>
          <w:szCs w:val="24"/>
          <w:lang w:eastAsia="pl-PL"/>
        </w:rPr>
        <w:t xml:space="preserve">Inny (proszę określić): </w:t>
      </w:r>
      <w:r w:rsidRPr="00F6115C">
        <w:rPr>
          <w:rFonts w:ascii="Times New Roman" w:eastAsia="Times New Roman" w:hAnsi="Times New Roman" w:cs="Times New Roman"/>
          <w:sz w:val="24"/>
          <w:szCs w:val="24"/>
          <w:lang w:eastAsia="pl-PL"/>
        </w:rPr>
        <w:br/>
        <w:t xml:space="preserve">Uczelnia publiczna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I.3) WSPÓLNE UDZIELANIE ZAMÓWIENIA </w:t>
      </w:r>
      <w:r w:rsidRPr="00F6115C">
        <w:rPr>
          <w:rFonts w:ascii="Times New Roman" w:eastAsia="Times New Roman" w:hAnsi="Times New Roman" w:cs="Times New Roman"/>
          <w:b/>
          <w:bCs/>
          <w:i/>
          <w:iCs/>
          <w:sz w:val="24"/>
          <w:szCs w:val="24"/>
          <w:lang w:eastAsia="pl-PL"/>
        </w:rPr>
        <w:t>(jeżeli dotyczy)</w:t>
      </w:r>
      <w:r w:rsidRPr="00F6115C">
        <w:rPr>
          <w:rFonts w:ascii="Times New Roman" w:eastAsia="Times New Roman" w:hAnsi="Times New Roman" w:cs="Times New Roman"/>
          <w:b/>
          <w:bCs/>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I.4) KOMUNIKACJA: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Tak </w:t>
      </w:r>
      <w:r w:rsidRPr="00F6115C">
        <w:rPr>
          <w:rFonts w:ascii="Times New Roman" w:eastAsia="Times New Roman" w:hAnsi="Times New Roman" w:cs="Times New Roman"/>
          <w:sz w:val="24"/>
          <w:szCs w:val="24"/>
          <w:lang w:eastAsia="pl-PL"/>
        </w:rPr>
        <w:br/>
        <w:t xml:space="preserve">www.amw.gdynia.pl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Tak </w:t>
      </w:r>
      <w:r w:rsidRPr="00F6115C">
        <w:rPr>
          <w:rFonts w:ascii="Times New Roman" w:eastAsia="Times New Roman" w:hAnsi="Times New Roman" w:cs="Times New Roman"/>
          <w:sz w:val="24"/>
          <w:szCs w:val="24"/>
          <w:lang w:eastAsia="pl-PL"/>
        </w:rPr>
        <w:br/>
        <w:t xml:space="preserve">www.amw.gdynia.pl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Oferty lub wnioski o dopuszczenie do udziału w postępowaniu należy przesyłać:</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Elektronicznie</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adres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Nie </w:t>
      </w:r>
      <w:r w:rsidRPr="00F6115C">
        <w:rPr>
          <w:rFonts w:ascii="Times New Roman" w:eastAsia="Times New Roman" w:hAnsi="Times New Roman" w:cs="Times New Roman"/>
          <w:sz w:val="24"/>
          <w:szCs w:val="24"/>
          <w:lang w:eastAsia="pl-PL"/>
        </w:rPr>
        <w:br/>
        <w:t xml:space="preserve">Inny sposób: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Tak </w:t>
      </w:r>
      <w:r w:rsidRPr="00F6115C">
        <w:rPr>
          <w:rFonts w:ascii="Times New Roman" w:eastAsia="Times New Roman" w:hAnsi="Times New Roman" w:cs="Times New Roman"/>
          <w:sz w:val="24"/>
          <w:szCs w:val="24"/>
          <w:lang w:eastAsia="pl-PL"/>
        </w:rPr>
        <w:br/>
        <w:t xml:space="preserve">Inny sposób: </w:t>
      </w:r>
      <w:r w:rsidRPr="00F6115C">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6115C">
        <w:rPr>
          <w:rFonts w:ascii="Times New Roman" w:eastAsia="Times New Roman" w:hAnsi="Times New Roman" w:cs="Times New Roman"/>
          <w:sz w:val="24"/>
          <w:szCs w:val="24"/>
          <w:lang w:eastAsia="pl-PL"/>
        </w:rPr>
        <w:br/>
        <w:t xml:space="preserve">Adres: </w:t>
      </w:r>
      <w:r w:rsidRPr="00F6115C">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u w:val="single"/>
          <w:lang w:eastAsia="pl-PL"/>
        </w:rPr>
        <w:t xml:space="preserve">SEKCJA II: PRZEDMIOT ZAMÓWIENIA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II.1) Nazwa nadana zamówieniu przez zamawiającego: </w:t>
      </w:r>
      <w:r w:rsidRPr="00F6115C">
        <w:rPr>
          <w:rFonts w:ascii="Times New Roman" w:eastAsia="Times New Roman" w:hAnsi="Times New Roman" w:cs="Times New Roman"/>
          <w:sz w:val="24"/>
          <w:szCs w:val="24"/>
          <w:lang w:eastAsia="pl-PL"/>
        </w:rPr>
        <w:t xml:space="preserve">Modernizacja i rozbudowa systemu nagłośnieniowego, wizualizacji i sterowania audytorium Biblioteki Głównej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Numer referencyjny: </w:t>
      </w:r>
      <w:r w:rsidRPr="00F6115C">
        <w:rPr>
          <w:rFonts w:ascii="Times New Roman" w:eastAsia="Times New Roman" w:hAnsi="Times New Roman" w:cs="Times New Roman"/>
          <w:sz w:val="24"/>
          <w:szCs w:val="24"/>
          <w:lang w:eastAsia="pl-PL"/>
        </w:rPr>
        <w:t xml:space="preserve">79/ZP/19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115C" w:rsidRPr="00F6115C" w:rsidRDefault="00F6115C" w:rsidP="00F6115C">
      <w:pPr>
        <w:spacing w:after="0" w:line="450" w:lineRule="atLeast"/>
        <w:jc w:val="both"/>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II.2) Rodzaj zamówienia: </w:t>
      </w:r>
      <w:r w:rsidRPr="00F6115C">
        <w:rPr>
          <w:rFonts w:ascii="Times New Roman" w:eastAsia="Times New Roman" w:hAnsi="Times New Roman" w:cs="Times New Roman"/>
          <w:sz w:val="24"/>
          <w:szCs w:val="24"/>
          <w:lang w:eastAsia="pl-PL"/>
        </w:rPr>
        <w:t xml:space="preserve">Dostawy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II.3) Informacja o możliwości składania ofert częściowych</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Zamówienie podzielone jest na części: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Oferty lub wnioski o dopuszczenie do udziału w postępowaniu można składać w odniesieniu do:</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II.4) Krótki opis przedmiotu zamówienia </w:t>
      </w:r>
      <w:r w:rsidRPr="00F611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11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115C">
        <w:rPr>
          <w:rFonts w:ascii="Times New Roman" w:eastAsia="Times New Roman" w:hAnsi="Times New Roman" w:cs="Times New Roman"/>
          <w:sz w:val="24"/>
          <w:szCs w:val="24"/>
          <w:lang w:eastAsia="pl-PL"/>
        </w:rPr>
        <w:t xml:space="preserve">1.Rozbudowa i modernizacja systemu audiowizualnego audytorium w budynku biblioteki. W ramach obecnej modernizacji należy wykonać: 1.1 Zakres ogólny Zamawiający jest w posiadaniu systemu stanowiącego wyposażenie audiowizualne audytorium. Okablowanie dla modernizowanego systemu należy wykorzystać istniejące, a w przypadku jego braku do oferenta należy ułożenie niezbędnego okablowania do poprawnej pracy systemu. Nowe okablowanie winno być ułożone tak aby było nie widoczne i nie wpływało na estetykę pomieszczenia. 1.2Audio - zamontować system kolumn zgodnie z przedstawionym rozmieszczeniem. Należy wykonać dedykowaną podkonstrukcję. - po montażu system należy uruchomić i odpowiednio wystroić, uwzględniając akustykę audytorium - wykonać strojenie mikrofonów - wykonać podłączenie audio w katedrach - zdemontować istniejące boczne kolumny - zdemontować nie potrzebne urządzenia z szafy </w:t>
      </w:r>
      <w:proofErr w:type="spellStart"/>
      <w:r w:rsidRPr="00F6115C">
        <w:rPr>
          <w:rFonts w:ascii="Times New Roman" w:eastAsia="Times New Roman" w:hAnsi="Times New Roman" w:cs="Times New Roman"/>
          <w:sz w:val="24"/>
          <w:szCs w:val="24"/>
          <w:lang w:eastAsia="pl-PL"/>
        </w:rPr>
        <w:t>rack</w:t>
      </w:r>
      <w:proofErr w:type="spellEnd"/>
      <w:r w:rsidRPr="00F6115C">
        <w:rPr>
          <w:rFonts w:ascii="Times New Roman" w:eastAsia="Times New Roman" w:hAnsi="Times New Roman" w:cs="Times New Roman"/>
          <w:sz w:val="24"/>
          <w:szCs w:val="24"/>
          <w:lang w:eastAsia="pl-PL"/>
        </w:rPr>
        <w:t xml:space="preserve"> - zainstalować wzmacniacze mocy, procesory audio, odbiorniki mikrofonów inne urządzenia w istniejącej szafie </w:t>
      </w:r>
      <w:proofErr w:type="spellStart"/>
      <w:r w:rsidRPr="00F6115C">
        <w:rPr>
          <w:rFonts w:ascii="Times New Roman" w:eastAsia="Times New Roman" w:hAnsi="Times New Roman" w:cs="Times New Roman"/>
          <w:sz w:val="24"/>
          <w:szCs w:val="24"/>
          <w:lang w:eastAsia="pl-PL"/>
        </w:rPr>
        <w:t>rack</w:t>
      </w:r>
      <w:proofErr w:type="spellEnd"/>
      <w:r w:rsidRPr="00F6115C">
        <w:rPr>
          <w:rFonts w:ascii="Times New Roman" w:eastAsia="Times New Roman" w:hAnsi="Times New Roman" w:cs="Times New Roman"/>
          <w:sz w:val="24"/>
          <w:szCs w:val="24"/>
          <w:lang w:eastAsia="pl-PL"/>
        </w:rPr>
        <w:t xml:space="preserve"> - na audytorium zainstalować anteny zewnętrzne do mikrofonów - przygotować przyłącza na audytorium do podłączenia miksera, skrzynki dziennikarskiej - w reżyserce zainstalować kolumny odsłuchowe - podłączyć mównice z mikrofonami - system powinien umożliwić prowadzenie konferencji z użyciem tłumaczeń symultanicznych na salach A lub B osobno oraz w przypadku, gdy sale są połączone. Po modernizacji należy podłączyć ponownie i sprawdzić system. - możliwość korzystania z miksera cyfrowego na salach A lub B osobno oraz w przypadku, gdy sale są połączone. 1.3Wizja - zamontować nowe projektory laserowe w miejsce istniejących (do oferenta należy demontaż starych projektorów i adaptacja uchwytów pod kątem nowych urządzeń). Należy podnieść projektory i dopasować do nowej wysokości przeniesionego ekranu. - Należy podnieść ekran maksymalnie wysoko, ale tak aby nie kolidował z promiennikiem podczerwieni oraz montowanym zestawem kolumn. - w szafie </w:t>
      </w:r>
      <w:proofErr w:type="spellStart"/>
      <w:r w:rsidRPr="00F6115C">
        <w:rPr>
          <w:rFonts w:ascii="Times New Roman" w:eastAsia="Times New Roman" w:hAnsi="Times New Roman" w:cs="Times New Roman"/>
          <w:sz w:val="24"/>
          <w:szCs w:val="24"/>
          <w:lang w:eastAsia="pl-PL"/>
        </w:rPr>
        <w:t>rack</w:t>
      </w:r>
      <w:proofErr w:type="spellEnd"/>
      <w:r w:rsidRPr="00F6115C">
        <w:rPr>
          <w:rFonts w:ascii="Times New Roman" w:eastAsia="Times New Roman" w:hAnsi="Times New Roman" w:cs="Times New Roman"/>
          <w:sz w:val="24"/>
          <w:szCs w:val="24"/>
          <w:lang w:eastAsia="pl-PL"/>
        </w:rPr>
        <w:t xml:space="preserve"> zamontować wszystkie nowe elementy zachowując stare niezbędne do oczekiwanej pracy systemu. Zbędne urządzenia zdemontować i przekazać zamawiającemu. - kodery i dekodery sygnału zamontować przy wszystkich urządzeniach wejścia/wyjścia zgodnie ze schematem - zamontować </w:t>
      </w:r>
      <w:proofErr w:type="spellStart"/>
      <w:r w:rsidRPr="00F6115C">
        <w:rPr>
          <w:rFonts w:ascii="Times New Roman" w:eastAsia="Times New Roman" w:hAnsi="Times New Roman" w:cs="Times New Roman"/>
          <w:sz w:val="24"/>
          <w:szCs w:val="24"/>
          <w:lang w:eastAsia="pl-PL"/>
        </w:rPr>
        <w:t>skalery</w:t>
      </w:r>
      <w:proofErr w:type="spellEnd"/>
      <w:r w:rsidRPr="00F6115C">
        <w:rPr>
          <w:rFonts w:ascii="Times New Roman" w:eastAsia="Times New Roman" w:hAnsi="Times New Roman" w:cs="Times New Roman"/>
          <w:sz w:val="24"/>
          <w:szCs w:val="24"/>
          <w:lang w:eastAsia="pl-PL"/>
        </w:rPr>
        <w:t xml:space="preserve">, transformujące sygnał VGA na HDMI w katedrach zgodnie ze schematem - na katedrach zainstalować przyłącza stołowe - istniejące kamery wprowadzić do systemu poprzez posiadany </w:t>
      </w:r>
      <w:proofErr w:type="spellStart"/>
      <w:r w:rsidRPr="00F6115C">
        <w:rPr>
          <w:rFonts w:ascii="Times New Roman" w:eastAsia="Times New Roman" w:hAnsi="Times New Roman" w:cs="Times New Roman"/>
          <w:sz w:val="24"/>
          <w:szCs w:val="24"/>
          <w:lang w:eastAsia="pl-PL"/>
        </w:rPr>
        <w:t>skaler</w:t>
      </w:r>
      <w:proofErr w:type="spellEnd"/>
      <w:r w:rsidRPr="00F6115C">
        <w:rPr>
          <w:rFonts w:ascii="Times New Roman" w:eastAsia="Times New Roman" w:hAnsi="Times New Roman" w:cs="Times New Roman"/>
          <w:sz w:val="24"/>
          <w:szCs w:val="24"/>
          <w:lang w:eastAsia="pl-PL"/>
        </w:rPr>
        <w:t xml:space="preserve"> </w:t>
      </w:r>
      <w:proofErr w:type="spellStart"/>
      <w:r w:rsidRPr="00F6115C">
        <w:rPr>
          <w:rFonts w:ascii="Times New Roman" w:eastAsia="Times New Roman" w:hAnsi="Times New Roman" w:cs="Times New Roman"/>
          <w:sz w:val="24"/>
          <w:szCs w:val="24"/>
          <w:lang w:eastAsia="pl-PL"/>
        </w:rPr>
        <w:t>Creator</w:t>
      </w:r>
      <w:proofErr w:type="spellEnd"/>
      <w:r w:rsidRPr="00F6115C">
        <w:rPr>
          <w:rFonts w:ascii="Times New Roman" w:eastAsia="Times New Roman" w:hAnsi="Times New Roman" w:cs="Times New Roman"/>
          <w:sz w:val="24"/>
          <w:szCs w:val="24"/>
          <w:lang w:eastAsia="pl-PL"/>
        </w:rPr>
        <w:t xml:space="preserve"> Max 1301HD - zdemontować istniejącą matrycę wizyjną analogową i w to miejsce zamontować nowy system 1.4 Zasilanie W ramach realizacji zadania wykonawca jest zobowiązany do wykonania dedykowanej podrozdzielni na potrzeby zasilania systemu AV. Podrozdzielnia będzie zlokalizowana w pomieszczeniu reżyserki i zasilona z rozdzielnicy 1.4, z której należy doprowadzić zasilanie. Planowana podrozdzielnia powinna zawierać zasilanie poniższych obwodów: 1. Zasilanie 2 szt. projektorów zlokalizowanych w tylnej części audytorium 2. Zasilanie 2 szt. ekranów elektrycznych zlokalizowanych w tylnej części audytorium 4. Zasilanie szafy AV 5. Zasilanie monitorów odsłuchowych w reżyserce (2 szt.) 6. Zasilanie stanowisk mobilnego miksera audio PSM1 i PSM2 Obwody wymienione w punkcie 3, 4 i 5 należy tak zaprojektować, aby możliwe było selektywne ich załączanie z poziomu systemu sterowania. Po wyłączeniu systemu AV powinno nastąpić wyłączenie wszystkich odbiorników energii w szafie AV z wyjątkiem odpowiedzialnych za sterowanie systemem. Dobór wielkości rozdzielnicy powinien być uwarunkowany od zaplanowanych ilości aparatów oraz modułów wykonawczych systemu AV z zachowaniem 30% rezerwy. 1.5 System sterowania Po instalacji urządzeń należy sprawdzić poprawność działania zamontowanych urządzeń i dokonać oprogramowania systemu sterowania. Należy dokonać integracji z istniejącym system KNX na audytorium. Zamawiający informuje, że posiadany przez niego system posiadał określoną funkcjonalność, załączanie sytemu AV, routing sygnałów, sterowanie oświetleniem i zaciemnieniem odbywało się pod kontrolą systemu sterowania. Od Wykonawcy wymaga się zachowania tej funkcjonalności z uwzględnieniem projektowanej rozbudowy. W skład systemu sterowania będą wchodziły 4 panele sterujące: - 2 panele przewodowe dla wykładowców zainstalowane w katedrach; - 2 panele technika (jeden przewodowy i jeden bezprzewodowy) – oba zapewniające tą samą funkcjonalność. Panele wykładowców powinny zapewniać minimalną funkcjonalność wymaganą do podstawowego funkcjonowania danej części Auli, natomiast panele techniczne powinny posiadać pełną funkcjonalność systemu sterowania. Do prawidłowej pracy panelu bezprzewodowego należy zainstalować właściwy bezprzewodowy punkt dostępu. Funkcjonalność Panelu sterującego musi zapewnić następującą funkcjonalność systemu sterowania: 1. Panel wykładowcy - Uruchomienie projekcji w makrach - wybór źródła powoduje uruchomienie projektora i opuszczenie ekranu projekcyjnego - Wyłączenie projekcji w makrach - wyłączenie projektora powoduje wyłączenie projektora i zwinięcie ekranu projekcyjnego - Regulacja poziomu głośności źródeł liniowych (np. laptop) - Sterowanie oświetleniem - Sterowanie roletami świetlików dachowych 2. Panel techniczny - Uruchamianie i wyłączanie systemu AV - steruje zasilaniem urządzeń wykonawczych systemu AV, oraz uruchamia system z zaprogramowanymi ustawieniami startowymi - </w:t>
      </w:r>
      <w:proofErr w:type="spellStart"/>
      <w:r w:rsidRPr="00F6115C">
        <w:rPr>
          <w:rFonts w:ascii="Times New Roman" w:eastAsia="Times New Roman" w:hAnsi="Times New Roman" w:cs="Times New Roman"/>
          <w:sz w:val="24"/>
          <w:szCs w:val="24"/>
          <w:lang w:eastAsia="pl-PL"/>
        </w:rPr>
        <w:t>Timer</w:t>
      </w:r>
      <w:proofErr w:type="spellEnd"/>
      <w:r w:rsidRPr="00F6115C">
        <w:rPr>
          <w:rFonts w:ascii="Times New Roman" w:eastAsia="Times New Roman" w:hAnsi="Times New Roman" w:cs="Times New Roman"/>
          <w:sz w:val="24"/>
          <w:szCs w:val="24"/>
          <w:lang w:eastAsia="pl-PL"/>
        </w:rPr>
        <w:t xml:space="preserve"> - umożliwia zaprogramowanie uruchamiania i wyłączania systemu o wyznaczonej przez Technika godzinie w wyznaczonych dniach tygodnia - Uruchomienie projekcji w makrach - wybór źródła powoduje uruchomienie projektora i opuszczenie ekranu projekcyjnego - niezależnie dla obu </w:t>
      </w:r>
      <w:proofErr w:type="spellStart"/>
      <w:r w:rsidRPr="00F6115C">
        <w:rPr>
          <w:rFonts w:ascii="Times New Roman" w:eastAsia="Times New Roman" w:hAnsi="Times New Roman" w:cs="Times New Roman"/>
          <w:sz w:val="24"/>
          <w:szCs w:val="24"/>
          <w:lang w:eastAsia="pl-PL"/>
        </w:rPr>
        <w:t>sal</w:t>
      </w:r>
      <w:proofErr w:type="spellEnd"/>
      <w:r w:rsidRPr="00F6115C">
        <w:rPr>
          <w:rFonts w:ascii="Times New Roman" w:eastAsia="Times New Roman" w:hAnsi="Times New Roman" w:cs="Times New Roman"/>
          <w:sz w:val="24"/>
          <w:szCs w:val="24"/>
          <w:lang w:eastAsia="pl-PL"/>
        </w:rPr>
        <w:t xml:space="preserve"> - Wyłączenie projekcji w makrach - wyłączenie projektora powoduje wyłączenie projektora i zwinięcie ekranu projekcyjnego - niezależnie dla obu </w:t>
      </w:r>
      <w:proofErr w:type="spellStart"/>
      <w:r w:rsidRPr="00F6115C">
        <w:rPr>
          <w:rFonts w:ascii="Times New Roman" w:eastAsia="Times New Roman" w:hAnsi="Times New Roman" w:cs="Times New Roman"/>
          <w:sz w:val="24"/>
          <w:szCs w:val="24"/>
          <w:lang w:eastAsia="pl-PL"/>
        </w:rPr>
        <w:t>sal</w:t>
      </w:r>
      <w:proofErr w:type="spellEnd"/>
      <w:r w:rsidRPr="00F6115C">
        <w:rPr>
          <w:rFonts w:ascii="Times New Roman" w:eastAsia="Times New Roman" w:hAnsi="Times New Roman" w:cs="Times New Roman"/>
          <w:sz w:val="24"/>
          <w:szCs w:val="24"/>
          <w:lang w:eastAsia="pl-PL"/>
        </w:rPr>
        <w:t xml:space="preserve"> - Sterowanie ekranami i projektorami indywidualnie bez użycia makr. - Na panelu powinna być ujęta informacja o aktualnym czasie pracy projektorów. - Wszystkie statusy pracy urządzeń powinny być odzwierciedlane w czasie rzeczywistym (np. informacja, czy projektor jest uruchomiony), - Sterowanie oświetleniem - Sterowanie roletami świetlików dachowych - Regulacja poziomu głośności źródeł liniowych (np. laptop) i mikrofonowych - Możliwość sterowania/</w:t>
      </w:r>
      <w:proofErr w:type="spellStart"/>
      <w:r w:rsidRPr="00F6115C">
        <w:rPr>
          <w:rFonts w:ascii="Times New Roman" w:eastAsia="Times New Roman" w:hAnsi="Times New Roman" w:cs="Times New Roman"/>
          <w:sz w:val="24"/>
          <w:szCs w:val="24"/>
          <w:lang w:eastAsia="pl-PL"/>
        </w:rPr>
        <w:t>krosowania</w:t>
      </w:r>
      <w:proofErr w:type="spellEnd"/>
      <w:r w:rsidRPr="00F6115C">
        <w:rPr>
          <w:rFonts w:ascii="Times New Roman" w:eastAsia="Times New Roman" w:hAnsi="Times New Roman" w:cs="Times New Roman"/>
          <w:sz w:val="24"/>
          <w:szCs w:val="24"/>
          <w:lang w:eastAsia="pl-PL"/>
        </w:rPr>
        <w:t xml:space="preserve"> sygnałów audio i wideo dowolnie pomiędzy salami - Możliwość pracy systemu w trybie sali połączonej i podzielonej - Przygotowanie panelu na ewentualność rozbudowy systemu w przyszłości np. włączenie systemu informacyjnego monitorów </w:t>
      </w:r>
      <w:proofErr w:type="spellStart"/>
      <w:r w:rsidRPr="00F6115C">
        <w:rPr>
          <w:rFonts w:ascii="Times New Roman" w:eastAsia="Times New Roman" w:hAnsi="Times New Roman" w:cs="Times New Roman"/>
          <w:sz w:val="24"/>
          <w:szCs w:val="24"/>
          <w:lang w:eastAsia="pl-PL"/>
        </w:rPr>
        <w:t>itp</w:t>
      </w:r>
      <w:proofErr w:type="spellEnd"/>
      <w:r w:rsidRPr="00F6115C">
        <w:rPr>
          <w:rFonts w:ascii="Times New Roman" w:eastAsia="Times New Roman" w:hAnsi="Times New Roman" w:cs="Times New Roman"/>
          <w:sz w:val="24"/>
          <w:szCs w:val="24"/>
          <w:lang w:eastAsia="pl-PL"/>
        </w:rPr>
        <w:t xml:space="preserve"> - Panel techniczny przewodowy w reżyserce musi mieć taką samą funkcjonalność jak panel techniczny bezprzewodowy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II.5) Główny kod CPV: </w:t>
      </w:r>
      <w:r w:rsidRPr="00F6115C">
        <w:rPr>
          <w:rFonts w:ascii="Times New Roman" w:eastAsia="Times New Roman" w:hAnsi="Times New Roman" w:cs="Times New Roman"/>
          <w:sz w:val="24"/>
          <w:szCs w:val="24"/>
          <w:lang w:eastAsia="pl-PL"/>
        </w:rPr>
        <w:t xml:space="preserve">32000000-3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Dodatkowe kody CPV:</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II.6) Całkowita wartość zamówienia </w:t>
      </w:r>
      <w:r w:rsidRPr="00F6115C">
        <w:rPr>
          <w:rFonts w:ascii="Times New Roman" w:eastAsia="Times New Roman" w:hAnsi="Times New Roman" w:cs="Times New Roman"/>
          <w:i/>
          <w:iCs/>
          <w:sz w:val="24"/>
          <w:szCs w:val="24"/>
          <w:lang w:eastAsia="pl-PL"/>
        </w:rPr>
        <w:t>(jeżeli zamawiający podaje informacje o wartości zamówienia)</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Wartość bez VAT: </w:t>
      </w:r>
      <w:r w:rsidRPr="00F6115C">
        <w:rPr>
          <w:rFonts w:ascii="Times New Roman" w:eastAsia="Times New Roman" w:hAnsi="Times New Roman" w:cs="Times New Roman"/>
          <w:sz w:val="24"/>
          <w:szCs w:val="24"/>
          <w:lang w:eastAsia="pl-PL"/>
        </w:rPr>
        <w:br/>
        <w:t xml:space="preserve">Waluta: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miesiącach:   </w:t>
      </w:r>
      <w:r w:rsidRPr="00F6115C">
        <w:rPr>
          <w:rFonts w:ascii="Times New Roman" w:eastAsia="Times New Roman" w:hAnsi="Times New Roman" w:cs="Times New Roman"/>
          <w:i/>
          <w:iCs/>
          <w:sz w:val="24"/>
          <w:szCs w:val="24"/>
          <w:lang w:eastAsia="pl-PL"/>
        </w:rPr>
        <w:t xml:space="preserve"> lub </w:t>
      </w:r>
      <w:r w:rsidRPr="00F6115C">
        <w:rPr>
          <w:rFonts w:ascii="Times New Roman" w:eastAsia="Times New Roman" w:hAnsi="Times New Roman" w:cs="Times New Roman"/>
          <w:b/>
          <w:bCs/>
          <w:sz w:val="24"/>
          <w:szCs w:val="24"/>
          <w:lang w:eastAsia="pl-PL"/>
        </w:rPr>
        <w:t>dniach:</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i/>
          <w:iCs/>
          <w:sz w:val="24"/>
          <w:szCs w:val="24"/>
          <w:lang w:eastAsia="pl-PL"/>
        </w:rPr>
        <w:t>lub</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data rozpoczęcia: </w:t>
      </w:r>
      <w:r w:rsidRPr="00F6115C">
        <w:rPr>
          <w:rFonts w:ascii="Times New Roman" w:eastAsia="Times New Roman" w:hAnsi="Times New Roman" w:cs="Times New Roman"/>
          <w:sz w:val="24"/>
          <w:szCs w:val="24"/>
          <w:lang w:eastAsia="pl-PL"/>
        </w:rPr>
        <w:t> </w:t>
      </w:r>
      <w:r w:rsidRPr="00F6115C">
        <w:rPr>
          <w:rFonts w:ascii="Times New Roman" w:eastAsia="Times New Roman" w:hAnsi="Times New Roman" w:cs="Times New Roman"/>
          <w:i/>
          <w:iCs/>
          <w:sz w:val="24"/>
          <w:szCs w:val="24"/>
          <w:lang w:eastAsia="pl-PL"/>
        </w:rPr>
        <w:t xml:space="preserve"> lub </w:t>
      </w:r>
      <w:r w:rsidRPr="00F6115C">
        <w:rPr>
          <w:rFonts w:ascii="Times New Roman" w:eastAsia="Times New Roman" w:hAnsi="Times New Roman" w:cs="Times New Roman"/>
          <w:b/>
          <w:bCs/>
          <w:sz w:val="24"/>
          <w:szCs w:val="24"/>
          <w:lang w:eastAsia="pl-PL"/>
        </w:rPr>
        <w:t xml:space="preserve">zakończenia: </w:t>
      </w:r>
      <w:r w:rsidRPr="00F6115C">
        <w:rPr>
          <w:rFonts w:ascii="Times New Roman" w:eastAsia="Times New Roman" w:hAnsi="Times New Roman" w:cs="Times New Roman"/>
          <w:sz w:val="24"/>
          <w:szCs w:val="24"/>
          <w:lang w:eastAsia="pl-PL"/>
        </w:rPr>
        <w:t xml:space="preserve">2019-09-15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6115C" w:rsidRPr="00F6115C" w:rsidTr="00F6115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Data zakończenia</w:t>
            </w:r>
          </w:p>
        </w:tc>
      </w:tr>
      <w:tr w:rsidR="00F6115C" w:rsidRPr="00F6115C" w:rsidTr="00F6115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2019-09-15</w:t>
            </w:r>
          </w:p>
        </w:tc>
      </w:tr>
    </w:tbl>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II.9) Informacje dodatkowe: </w:t>
      </w:r>
    </w:p>
    <w:p w:rsidR="00F6115C" w:rsidRPr="00F6115C" w:rsidRDefault="00F6115C" w:rsidP="00F6115C">
      <w:pPr>
        <w:spacing w:after="0" w:line="450" w:lineRule="atLeast"/>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III.1) WARUNKI UDZIAŁU W POSTĘPOWANIU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Określenie warunków: Zamawiający nie wyznacza warunku w tym zakresie. </w:t>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III.1.2) Sytuacja finansowa lub ekonomiczna </w:t>
      </w:r>
      <w:r w:rsidRPr="00F6115C">
        <w:rPr>
          <w:rFonts w:ascii="Times New Roman" w:eastAsia="Times New Roman" w:hAnsi="Times New Roman" w:cs="Times New Roman"/>
          <w:sz w:val="24"/>
          <w:szCs w:val="24"/>
          <w:lang w:eastAsia="pl-PL"/>
        </w:rPr>
        <w:br/>
        <w:t xml:space="preserve">Określenie warunków: Opłacona polisa, a w przypadku jej braku inny dokument potwierdzający, że Wykonawca jest ubezpieczony od odpowiedzialności cywilnej w zakresie prowadzonej działalności związanej z przedmiotem zamówienia, na kwotę nie mniejszą niż 700.000,00 zł. </w:t>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III.1.3) Zdolność techniczna lub zawodowa </w:t>
      </w:r>
      <w:r w:rsidRPr="00F6115C">
        <w:rPr>
          <w:rFonts w:ascii="Times New Roman" w:eastAsia="Times New Roman" w:hAnsi="Times New Roman" w:cs="Times New Roman"/>
          <w:sz w:val="24"/>
          <w:szCs w:val="24"/>
          <w:lang w:eastAsia="pl-PL"/>
        </w:rPr>
        <w:br/>
        <w:t xml:space="preserve">Określenie warunków: 1. Wykaz (załącznik nr 7)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2 realizacje podobnych projektów odpowiadających przedmiotowi zamówienia, na kwotę nie mniejszą niż 350 000 tys. zł netto każda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a) osobą posiadającą certyfikat/zaświadczenie o przeszkoleniu pracownika przez producenta systemu sterowania ( załącznik nr 10) b) osobą posiadającą uprawnienia SEP D i E oraz uprawnienia do pracy na wysokości (załącznik nr 11) 3. W przypadku powoływania się na zasoby innych podmiotów( załącznik nr 9) </w:t>
      </w:r>
      <w:r w:rsidRPr="00F611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115C">
        <w:rPr>
          <w:rFonts w:ascii="Times New Roman" w:eastAsia="Times New Roman" w:hAnsi="Times New Roman" w:cs="Times New Roman"/>
          <w:sz w:val="24"/>
          <w:szCs w:val="24"/>
          <w:lang w:eastAsia="pl-PL"/>
        </w:rPr>
        <w:br/>
        <w:t xml:space="preserve">Informacje dodatkowe: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III.2) PODSTAWY WYKLUCZENIA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III.2.1) Podstawy wykluczenia określone w art. 24 ust. 1 ustawy Pzp</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III.2.2) Zamawiający przewiduje wykluczenie wykonawcy na podstawie art. 24 ust. 5 ustawy Pzp</w:t>
      </w:r>
      <w:r w:rsidRPr="00F611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115C">
        <w:rPr>
          <w:rFonts w:ascii="Times New Roman" w:eastAsia="Times New Roman" w:hAnsi="Times New Roman" w:cs="Times New Roman"/>
          <w:sz w:val="24"/>
          <w:szCs w:val="24"/>
          <w:lang w:eastAsia="pl-PL"/>
        </w:rPr>
        <w:br/>
        <w:t xml:space="preserve">Tak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Oświadczenie o spełnianiu kryteriów selekcji </w:t>
      </w:r>
      <w:r w:rsidRPr="00F6115C">
        <w:rPr>
          <w:rFonts w:ascii="Times New Roman" w:eastAsia="Times New Roman" w:hAnsi="Times New Roman" w:cs="Times New Roman"/>
          <w:sz w:val="24"/>
          <w:szCs w:val="24"/>
          <w:lang w:eastAsia="pl-PL"/>
        </w:rPr>
        <w:br/>
        <w:t xml:space="preserve">Nie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III.5.1) W ZAKRESIE SPEŁNIANIA WARUNKÓW UDZIAŁU W POSTĘPOWANIU:</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1. Wykaz (załącznik nr 7)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2 realizacje podobnych projektów odpowiadających przedmiotowi zamówienia, na kwotę nie mniejszą niż 350 000 tys. zł netto każda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osobami: a) osobą posiadającą certyfikat/zaświadczenie o przeszkoleniu pracownika przez producenta systemu sterowania ( załącznik nr 10) b) osobą posiadającą uprawnienia SEP D i E oraz uprawnienia do pracy na wysokości( załącznik nr 11) 3. W przypadku powoływania się na zasoby innych podmiotów( załącznik nr 9)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III.5.2) W ZAKRESIE KRYTERIÓW SELEKCJI:</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Wypełniony i podpisany Formularz Oferty zgodnie ze wzorem stanowiącym (załącznik nr 4),wypełnioną tabelą oraz karty katalogowe produktów.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III.7) INNE DOKUMENTY NIE WYMIENIONE W pkt III.3) - III.6)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Oświadczenie wymagane od wykonawcy w zakresie wypełnienia obowiązków informacyjnych przewidzianych w art. 13 lub art. 14 RODO ( załącznik nr 12); 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F6115C" w:rsidRPr="00F6115C" w:rsidRDefault="00F6115C" w:rsidP="00F6115C">
      <w:pPr>
        <w:spacing w:after="0" w:line="450" w:lineRule="atLeast"/>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u w:val="single"/>
          <w:lang w:eastAsia="pl-PL"/>
        </w:rPr>
        <w:t xml:space="preserve">SEKCJA IV: PROCEDURA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 xml:space="preserve">IV.1) OPIS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IV.1.1) Tryb udzielenia zamówienia: </w:t>
      </w:r>
      <w:r w:rsidRPr="00F6115C">
        <w:rPr>
          <w:rFonts w:ascii="Times New Roman" w:eastAsia="Times New Roman" w:hAnsi="Times New Roman" w:cs="Times New Roman"/>
          <w:sz w:val="24"/>
          <w:szCs w:val="24"/>
          <w:lang w:eastAsia="pl-PL"/>
        </w:rPr>
        <w:t xml:space="preserve">Przetarg nieograniczony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IV.1.2) Zamawiający żąda wniesienia wadium:</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Tak </w:t>
      </w:r>
      <w:r w:rsidRPr="00F6115C">
        <w:rPr>
          <w:rFonts w:ascii="Times New Roman" w:eastAsia="Times New Roman" w:hAnsi="Times New Roman" w:cs="Times New Roman"/>
          <w:sz w:val="24"/>
          <w:szCs w:val="24"/>
          <w:lang w:eastAsia="pl-PL"/>
        </w:rPr>
        <w:br/>
        <w:t xml:space="preserve">Informacja na temat wadium </w:t>
      </w:r>
      <w:r w:rsidRPr="00F6115C">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1 600,00 PLN (słownie: jeden tysiąc sześćset złotych 00/100). Wadium należy wnieść w jednej z form określonych w art. 45 ust. 6 ustawy Pzp. przed upływem terminu składania ofert (zgodnie z art. 45 ust. 3 Pzp). Numer konta: PEKAO Bank Pekao S.A. 19 1240 2933 1111 0010 2946 0480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IV.1.3) Przewiduje się udzielenie zaliczek na poczet wykonania zamówienia:</w:t>
      </w:r>
      <w:r w:rsidRPr="00F6115C">
        <w:rPr>
          <w:rFonts w:ascii="Times New Roman" w:eastAsia="Times New Roman" w:hAnsi="Times New Roman" w:cs="Times New Roman"/>
          <w:sz w:val="24"/>
          <w:szCs w:val="24"/>
          <w:lang w:eastAsia="pl-PL"/>
        </w:rPr>
        <w:t xml:space="preserv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Należy podać informacje na temat udzielania zaliczek: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115C">
        <w:rPr>
          <w:rFonts w:ascii="Times New Roman" w:eastAsia="Times New Roman" w:hAnsi="Times New Roman" w:cs="Times New Roman"/>
          <w:sz w:val="24"/>
          <w:szCs w:val="24"/>
          <w:lang w:eastAsia="pl-PL"/>
        </w:rPr>
        <w:br/>
        <w:t xml:space="preserve">Nie </w:t>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IV.1.5.) Wymaga się złożenia oferty wariantowej: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Dopuszcza się złożenie oferty wariantowej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Liczba wykonawców   </w:t>
      </w:r>
      <w:r w:rsidRPr="00F6115C">
        <w:rPr>
          <w:rFonts w:ascii="Times New Roman" w:eastAsia="Times New Roman" w:hAnsi="Times New Roman" w:cs="Times New Roman"/>
          <w:sz w:val="24"/>
          <w:szCs w:val="24"/>
          <w:lang w:eastAsia="pl-PL"/>
        </w:rPr>
        <w:br/>
        <w:t xml:space="preserve">Przewidywana minimalna liczba wykonawców </w:t>
      </w:r>
      <w:r w:rsidRPr="00F6115C">
        <w:rPr>
          <w:rFonts w:ascii="Times New Roman" w:eastAsia="Times New Roman" w:hAnsi="Times New Roman" w:cs="Times New Roman"/>
          <w:sz w:val="24"/>
          <w:szCs w:val="24"/>
          <w:lang w:eastAsia="pl-PL"/>
        </w:rPr>
        <w:br/>
        <w:t xml:space="preserve">Maksymalna liczba wykonawców   </w:t>
      </w:r>
      <w:r w:rsidRPr="00F6115C">
        <w:rPr>
          <w:rFonts w:ascii="Times New Roman" w:eastAsia="Times New Roman" w:hAnsi="Times New Roman" w:cs="Times New Roman"/>
          <w:sz w:val="24"/>
          <w:szCs w:val="24"/>
          <w:lang w:eastAsia="pl-PL"/>
        </w:rPr>
        <w:br/>
        <w:t xml:space="preserve">Kryteria selekcji wykonawców: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IV.1.7) Informacje na temat umowy ramowej lub dynamicznego systemu zakupów: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Umowa ramowa będzie zawarta: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Czy przewiduje się ograniczenie liczby uczestników umowy ramowej: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Przewidziana maksymalna liczba uczestników umowy ramowej: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Zamówienie obejmuje ustanowienie dynamicznego systemu zakupów: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IV.1.8) Aukcja elektroniczna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Przewidziane jest przeprowadzenie aukcji elektronicznej </w:t>
      </w:r>
      <w:r w:rsidRPr="00F6115C">
        <w:rPr>
          <w:rFonts w:ascii="Times New Roman" w:eastAsia="Times New Roman" w:hAnsi="Times New Roman" w:cs="Times New Roman"/>
          <w:i/>
          <w:iCs/>
          <w:sz w:val="24"/>
          <w:szCs w:val="24"/>
          <w:lang w:eastAsia="pl-PL"/>
        </w:rPr>
        <w:t xml:space="preserve">(przetarg nieograniczony, przetarg ograniczony, negocjacje z ogłoszeniem) </w:t>
      </w:r>
      <w:r w:rsidRPr="00F6115C">
        <w:rPr>
          <w:rFonts w:ascii="Times New Roman" w:eastAsia="Times New Roman" w:hAnsi="Times New Roman" w:cs="Times New Roman"/>
          <w:sz w:val="24"/>
          <w:szCs w:val="24"/>
          <w:lang w:eastAsia="pl-PL"/>
        </w:rPr>
        <w:t xml:space="preserve">Nie </w:t>
      </w:r>
      <w:r w:rsidRPr="00F6115C">
        <w:rPr>
          <w:rFonts w:ascii="Times New Roman" w:eastAsia="Times New Roman" w:hAnsi="Times New Roman" w:cs="Times New Roman"/>
          <w:sz w:val="24"/>
          <w:szCs w:val="24"/>
          <w:lang w:eastAsia="pl-PL"/>
        </w:rPr>
        <w:br/>
        <w:t xml:space="preserve">Należy podać adres strony internetowej, na której aukcja będzie prowadzona: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115C">
        <w:rPr>
          <w:rFonts w:ascii="Times New Roman" w:eastAsia="Times New Roman" w:hAnsi="Times New Roman" w:cs="Times New Roman"/>
          <w:sz w:val="24"/>
          <w:szCs w:val="24"/>
          <w:lang w:eastAsia="pl-PL"/>
        </w:rPr>
        <w:br/>
        <w:t xml:space="preserve">Informacje dotyczące przebiegu aukcji elektronicznej: </w:t>
      </w:r>
      <w:r w:rsidRPr="00F611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11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611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115C">
        <w:rPr>
          <w:rFonts w:ascii="Times New Roman" w:eastAsia="Times New Roman" w:hAnsi="Times New Roman" w:cs="Times New Roman"/>
          <w:sz w:val="24"/>
          <w:szCs w:val="24"/>
          <w:lang w:eastAsia="pl-PL"/>
        </w:rPr>
        <w:br/>
        <w:t xml:space="preserve">Informacje o liczbie etapów aukcji elektronicznej i czasie ich trwania: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Czas trwania: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115C">
        <w:rPr>
          <w:rFonts w:ascii="Times New Roman" w:eastAsia="Times New Roman" w:hAnsi="Times New Roman" w:cs="Times New Roman"/>
          <w:sz w:val="24"/>
          <w:szCs w:val="24"/>
          <w:lang w:eastAsia="pl-PL"/>
        </w:rPr>
        <w:br/>
        <w:t xml:space="preserve">Warunki zamknięcia aukcji elektronicznej: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IV.2) KRYTERIA OCENY OFERT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IV.2.1) Kryteria oceny ofert: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IV.2.2) Kryteria</w:t>
      </w:r>
      <w:r w:rsidRPr="00F6115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6115C" w:rsidRPr="00F6115C" w:rsidTr="00F6115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Znaczenie</w:t>
            </w:r>
          </w:p>
        </w:tc>
      </w:tr>
      <w:tr w:rsidR="00F6115C" w:rsidRPr="00F6115C" w:rsidTr="00F6115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60,00</w:t>
            </w:r>
          </w:p>
        </w:tc>
      </w:tr>
      <w:tr w:rsidR="00F6115C" w:rsidRPr="00F6115C" w:rsidTr="00F6115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40,00</w:t>
            </w:r>
          </w:p>
        </w:tc>
      </w:tr>
    </w:tbl>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IV.2.3) Zastosowanie procedury, o której mowa w art. 24aa ust. 1 ustawy Pzp </w:t>
      </w:r>
      <w:r w:rsidRPr="00F6115C">
        <w:rPr>
          <w:rFonts w:ascii="Times New Roman" w:eastAsia="Times New Roman" w:hAnsi="Times New Roman" w:cs="Times New Roman"/>
          <w:sz w:val="24"/>
          <w:szCs w:val="24"/>
          <w:lang w:eastAsia="pl-PL"/>
        </w:rPr>
        <w:t xml:space="preserve">(przetarg nieograniczony) </w:t>
      </w:r>
      <w:r w:rsidRPr="00F6115C">
        <w:rPr>
          <w:rFonts w:ascii="Times New Roman" w:eastAsia="Times New Roman" w:hAnsi="Times New Roman" w:cs="Times New Roman"/>
          <w:sz w:val="24"/>
          <w:szCs w:val="24"/>
          <w:lang w:eastAsia="pl-PL"/>
        </w:rPr>
        <w:br/>
        <w:t xml:space="preserve">Tak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IV.3) Negocjacje z ogłoszeniem, dialog konkurencyjny, partnerstwo innowacyjne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IV.3.1) Informacje na temat negocjacji z ogłoszeniem</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Minimalne wymagania, które muszą spełniać wszystkie oferty: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115C">
        <w:rPr>
          <w:rFonts w:ascii="Times New Roman" w:eastAsia="Times New Roman" w:hAnsi="Times New Roman" w:cs="Times New Roman"/>
          <w:sz w:val="24"/>
          <w:szCs w:val="24"/>
          <w:lang w:eastAsia="pl-PL"/>
        </w:rPr>
        <w:br/>
        <w:t xml:space="preserve">Przewidziany jest podział negocjacji na etapy w celu ograniczenia liczby ofert: </w:t>
      </w:r>
      <w:r w:rsidRPr="00F6115C">
        <w:rPr>
          <w:rFonts w:ascii="Times New Roman" w:eastAsia="Times New Roman" w:hAnsi="Times New Roman" w:cs="Times New Roman"/>
          <w:sz w:val="24"/>
          <w:szCs w:val="24"/>
          <w:lang w:eastAsia="pl-PL"/>
        </w:rPr>
        <w:br/>
        <w:t xml:space="preserve">Należy podać informacje na temat etapów negocjacji (w tym liczbę etapów):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IV.3.2) Informacje na temat dialogu konkurencyjnego</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Wstępny harmonogram postępowania: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Podział dialogu na etapy w celu ograniczenia liczby rozwiązań: </w:t>
      </w:r>
      <w:r w:rsidRPr="00F6115C">
        <w:rPr>
          <w:rFonts w:ascii="Times New Roman" w:eastAsia="Times New Roman" w:hAnsi="Times New Roman" w:cs="Times New Roman"/>
          <w:sz w:val="24"/>
          <w:szCs w:val="24"/>
          <w:lang w:eastAsia="pl-PL"/>
        </w:rPr>
        <w:br/>
        <w:t xml:space="preserve">Należy podać informacje na temat etapów dialogu: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IV.3.3) Informacje na temat partnerstwa innowacyjnego</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Informacje dodatkowe: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IV.4) Licytacja elektroniczna </w:t>
      </w:r>
      <w:r w:rsidRPr="00F6115C">
        <w:rPr>
          <w:rFonts w:ascii="Times New Roman" w:eastAsia="Times New Roman" w:hAnsi="Times New Roman" w:cs="Times New Roman"/>
          <w:sz w:val="24"/>
          <w:szCs w:val="24"/>
          <w:lang w:eastAsia="pl-PL"/>
        </w:rPr>
        <w:br/>
        <w:t xml:space="preserve">Adres strony internetowej, na której będzie prowadzona licytacja elektroniczna: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Informacje o liczbie etapów licytacji elektronicznej i czasie ich trwania: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Czas trwania: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Termin składania wniosków o dopuszczenie do udziału w licytacji elektronicznej: </w:t>
      </w:r>
      <w:r w:rsidRPr="00F6115C">
        <w:rPr>
          <w:rFonts w:ascii="Times New Roman" w:eastAsia="Times New Roman" w:hAnsi="Times New Roman" w:cs="Times New Roman"/>
          <w:sz w:val="24"/>
          <w:szCs w:val="24"/>
          <w:lang w:eastAsia="pl-PL"/>
        </w:rPr>
        <w:br/>
        <w:t xml:space="preserve">Data: godzina: </w:t>
      </w:r>
      <w:r w:rsidRPr="00F6115C">
        <w:rPr>
          <w:rFonts w:ascii="Times New Roman" w:eastAsia="Times New Roman" w:hAnsi="Times New Roman" w:cs="Times New Roman"/>
          <w:sz w:val="24"/>
          <w:szCs w:val="24"/>
          <w:lang w:eastAsia="pl-PL"/>
        </w:rPr>
        <w:br/>
        <w:t xml:space="preserve">Termin otwarcia licytacji elektronicznej: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t xml:space="preserve">Termin i warunki zamknięcia licytacji elektronicznej: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Wymagania dotyczące zabezpieczenia należytego wykonania umowy: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br/>
        <w:t xml:space="preserve">Informacje dodatkowe: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r w:rsidRPr="00F6115C">
        <w:rPr>
          <w:rFonts w:ascii="Times New Roman" w:eastAsia="Times New Roman" w:hAnsi="Times New Roman" w:cs="Times New Roman"/>
          <w:b/>
          <w:bCs/>
          <w:sz w:val="24"/>
          <w:szCs w:val="24"/>
          <w:lang w:eastAsia="pl-PL"/>
        </w:rPr>
        <w:t>IV.5) ZMIANA UMOWY</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115C">
        <w:rPr>
          <w:rFonts w:ascii="Times New Roman" w:eastAsia="Times New Roman" w:hAnsi="Times New Roman" w:cs="Times New Roman"/>
          <w:sz w:val="24"/>
          <w:szCs w:val="24"/>
          <w:lang w:eastAsia="pl-PL"/>
        </w:rPr>
        <w:t xml:space="preserve"> Nie </w:t>
      </w:r>
      <w:r w:rsidRPr="00F6115C">
        <w:rPr>
          <w:rFonts w:ascii="Times New Roman" w:eastAsia="Times New Roman" w:hAnsi="Times New Roman" w:cs="Times New Roman"/>
          <w:sz w:val="24"/>
          <w:szCs w:val="24"/>
          <w:lang w:eastAsia="pl-PL"/>
        </w:rPr>
        <w:br/>
        <w:t xml:space="preserve">Należy wskazać zakres, charakter zmian oraz warunki wprowadzenia zmian: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IV.6) INFORMACJE ADMINISTRACYJNE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IV.6.1) Sposób udostępniania informacji o charakterze poufnym </w:t>
      </w:r>
      <w:r w:rsidRPr="00F6115C">
        <w:rPr>
          <w:rFonts w:ascii="Times New Roman" w:eastAsia="Times New Roman" w:hAnsi="Times New Roman" w:cs="Times New Roman"/>
          <w:i/>
          <w:iCs/>
          <w:sz w:val="24"/>
          <w:szCs w:val="24"/>
          <w:lang w:eastAsia="pl-PL"/>
        </w:rPr>
        <w:t xml:space="preserve">(jeżeli dotyczy): </w:t>
      </w:r>
      <w:r w:rsidRPr="00F6115C">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Środki służące ochronie informacji o charakterze poufnym</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115C">
        <w:rPr>
          <w:rFonts w:ascii="Times New Roman" w:eastAsia="Times New Roman" w:hAnsi="Times New Roman" w:cs="Times New Roman"/>
          <w:sz w:val="24"/>
          <w:szCs w:val="24"/>
          <w:lang w:eastAsia="pl-PL"/>
        </w:rPr>
        <w:br/>
        <w:t xml:space="preserve">Data: 2019-07-12, godzina: 09:00, </w:t>
      </w:r>
      <w:r w:rsidRPr="00F611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115C">
        <w:rPr>
          <w:rFonts w:ascii="Times New Roman" w:eastAsia="Times New Roman" w:hAnsi="Times New Roman" w:cs="Times New Roman"/>
          <w:sz w:val="24"/>
          <w:szCs w:val="24"/>
          <w:lang w:eastAsia="pl-PL"/>
        </w:rPr>
        <w:br/>
        <w:t xml:space="preserve">Nie </w:t>
      </w:r>
      <w:r w:rsidRPr="00F6115C">
        <w:rPr>
          <w:rFonts w:ascii="Times New Roman" w:eastAsia="Times New Roman" w:hAnsi="Times New Roman" w:cs="Times New Roman"/>
          <w:sz w:val="24"/>
          <w:szCs w:val="24"/>
          <w:lang w:eastAsia="pl-PL"/>
        </w:rPr>
        <w:br/>
        <w:t xml:space="preserve">Wskazać powody: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115C">
        <w:rPr>
          <w:rFonts w:ascii="Times New Roman" w:eastAsia="Times New Roman" w:hAnsi="Times New Roman" w:cs="Times New Roman"/>
          <w:sz w:val="24"/>
          <w:szCs w:val="24"/>
          <w:lang w:eastAsia="pl-PL"/>
        </w:rPr>
        <w:br/>
        <w:t xml:space="preserve">&gt;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 xml:space="preserve">IV.6.3) Termin związania ofertą: </w:t>
      </w:r>
      <w:r w:rsidRPr="00F6115C">
        <w:rPr>
          <w:rFonts w:ascii="Times New Roman" w:eastAsia="Times New Roman" w:hAnsi="Times New Roman" w:cs="Times New Roman"/>
          <w:sz w:val="24"/>
          <w:szCs w:val="24"/>
          <w:lang w:eastAsia="pl-PL"/>
        </w:rPr>
        <w:t xml:space="preserve">do: okres w dniach: 30 (od ostatecznego terminu składania ofert)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115C">
        <w:rPr>
          <w:rFonts w:ascii="Times New Roman" w:eastAsia="Times New Roman" w:hAnsi="Times New Roman" w:cs="Times New Roman"/>
          <w:sz w:val="24"/>
          <w:szCs w:val="24"/>
          <w:lang w:eastAsia="pl-PL"/>
        </w:rPr>
        <w:t xml:space="preserve"> Nie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115C">
        <w:rPr>
          <w:rFonts w:ascii="Times New Roman" w:eastAsia="Times New Roman" w:hAnsi="Times New Roman" w:cs="Times New Roman"/>
          <w:sz w:val="24"/>
          <w:szCs w:val="24"/>
          <w:lang w:eastAsia="pl-PL"/>
        </w:rPr>
        <w:t xml:space="preserve"> Nie </w:t>
      </w:r>
      <w:r w:rsidRPr="00F6115C">
        <w:rPr>
          <w:rFonts w:ascii="Times New Roman" w:eastAsia="Times New Roman" w:hAnsi="Times New Roman" w:cs="Times New Roman"/>
          <w:sz w:val="24"/>
          <w:szCs w:val="24"/>
          <w:lang w:eastAsia="pl-PL"/>
        </w:rPr>
        <w:br/>
      </w:r>
      <w:r w:rsidRPr="00F6115C">
        <w:rPr>
          <w:rFonts w:ascii="Times New Roman" w:eastAsia="Times New Roman" w:hAnsi="Times New Roman" w:cs="Times New Roman"/>
          <w:b/>
          <w:bCs/>
          <w:sz w:val="24"/>
          <w:szCs w:val="24"/>
          <w:lang w:eastAsia="pl-PL"/>
        </w:rPr>
        <w:t>IV.6.6) Informacje dodatkowe:</w:t>
      </w:r>
      <w:r w:rsidRPr="00F6115C">
        <w:rPr>
          <w:rFonts w:ascii="Times New Roman" w:eastAsia="Times New Roman" w:hAnsi="Times New Roman" w:cs="Times New Roman"/>
          <w:sz w:val="24"/>
          <w:szCs w:val="24"/>
          <w:lang w:eastAsia="pl-PL"/>
        </w:rPr>
        <w:t xml:space="preserve"> </w:t>
      </w:r>
      <w:r w:rsidRPr="00F6115C">
        <w:rPr>
          <w:rFonts w:ascii="Times New Roman" w:eastAsia="Times New Roman" w:hAnsi="Times New Roman" w:cs="Times New Roman"/>
          <w:sz w:val="24"/>
          <w:szCs w:val="24"/>
          <w:lang w:eastAsia="pl-PL"/>
        </w:rPr>
        <w:br/>
      </w:r>
    </w:p>
    <w:p w:rsidR="00F6115C" w:rsidRPr="00F6115C" w:rsidRDefault="00F6115C" w:rsidP="00F6115C">
      <w:pPr>
        <w:spacing w:after="0" w:line="450" w:lineRule="atLeast"/>
        <w:jc w:val="center"/>
        <w:rPr>
          <w:rFonts w:ascii="Times New Roman" w:eastAsia="Times New Roman" w:hAnsi="Times New Roman" w:cs="Times New Roman"/>
          <w:b/>
          <w:bCs/>
          <w:sz w:val="27"/>
          <w:szCs w:val="27"/>
          <w:lang w:eastAsia="pl-PL"/>
        </w:rPr>
      </w:pPr>
      <w:r w:rsidRPr="00F6115C">
        <w:rPr>
          <w:rFonts w:ascii="Times New Roman" w:eastAsia="Times New Roman" w:hAnsi="Times New Roman" w:cs="Times New Roman"/>
          <w:b/>
          <w:bCs/>
          <w:sz w:val="27"/>
          <w:szCs w:val="27"/>
          <w:u w:val="single"/>
          <w:lang w:eastAsia="pl-PL"/>
        </w:rPr>
        <w:t xml:space="preserve">ZAŁĄCZNIK I - INFORMACJE DOTYCZĄCE OFERT CZĘŚCIOWYCH </w:t>
      </w: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p>
    <w:p w:rsidR="00F6115C" w:rsidRPr="00F6115C" w:rsidRDefault="00F6115C" w:rsidP="00F6115C">
      <w:pPr>
        <w:spacing w:after="0" w:line="450" w:lineRule="atLeast"/>
        <w:rPr>
          <w:rFonts w:ascii="Times New Roman" w:eastAsia="Times New Roman" w:hAnsi="Times New Roman" w:cs="Times New Roman"/>
          <w:sz w:val="24"/>
          <w:szCs w:val="24"/>
          <w:lang w:eastAsia="pl-PL"/>
        </w:rPr>
      </w:pPr>
    </w:p>
    <w:p w:rsidR="00F6115C" w:rsidRPr="00F6115C" w:rsidRDefault="00F6115C" w:rsidP="00F6115C">
      <w:pPr>
        <w:spacing w:after="240" w:line="450" w:lineRule="atLeast"/>
        <w:rPr>
          <w:rFonts w:ascii="Times New Roman" w:eastAsia="Times New Roman" w:hAnsi="Times New Roman" w:cs="Times New Roman"/>
          <w:sz w:val="24"/>
          <w:szCs w:val="24"/>
          <w:lang w:eastAsia="pl-PL"/>
        </w:rPr>
      </w:pPr>
    </w:p>
    <w:p w:rsidR="00F6115C" w:rsidRPr="00F6115C" w:rsidRDefault="00F6115C" w:rsidP="00F611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6115C" w:rsidRPr="00F6115C" w:rsidTr="00F6115C">
        <w:trPr>
          <w:tblCellSpacing w:w="15" w:type="dxa"/>
        </w:trPr>
        <w:tc>
          <w:tcPr>
            <w:tcW w:w="0" w:type="auto"/>
            <w:vAlign w:val="center"/>
            <w:hideMark/>
          </w:tcPr>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F6115C" w:rsidRPr="00F6115C" w:rsidRDefault="00F6115C" w:rsidP="00F6115C">
      <w:pPr>
        <w:spacing w:after="0" w:line="240" w:lineRule="auto"/>
        <w:rPr>
          <w:rFonts w:ascii="Times New Roman" w:eastAsia="Times New Roman" w:hAnsi="Times New Roman" w:cs="Times New Roman"/>
          <w:sz w:val="24"/>
          <w:szCs w:val="24"/>
          <w:lang w:eastAsia="pl-PL"/>
        </w:rPr>
      </w:pPr>
      <w:r w:rsidRPr="00F6115C">
        <w:rPr>
          <w:rFonts w:ascii="Times New Roman" w:eastAsia="Times New Roman" w:hAnsi="Times New Roman" w:cs="Times New Roman"/>
          <w:sz w:val="24"/>
          <w:szCs w:val="24"/>
          <w:lang w:eastAsia="pl-PL"/>
        </w:rPr>
        <w:pict/>
      </w:r>
    </w:p>
    <w:p w:rsidR="00F6115C" w:rsidRPr="00F6115C" w:rsidRDefault="00F6115C" w:rsidP="00F6115C">
      <w:pPr>
        <w:pBdr>
          <w:top w:val="single" w:sz="6" w:space="1" w:color="auto"/>
        </w:pBdr>
        <w:spacing w:after="0" w:line="240" w:lineRule="auto"/>
        <w:jc w:val="center"/>
        <w:rPr>
          <w:rFonts w:ascii="Arial" w:eastAsia="Times New Roman" w:hAnsi="Arial" w:cs="Arial"/>
          <w:vanish/>
          <w:sz w:val="16"/>
          <w:szCs w:val="16"/>
          <w:lang w:eastAsia="pl-PL"/>
        </w:rPr>
      </w:pPr>
      <w:r w:rsidRPr="00F6115C">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5C"/>
    <w:rsid w:val="0068513F"/>
    <w:rsid w:val="00EF7205"/>
    <w:rsid w:val="00F6115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FC94-F39A-4CB7-9A77-CBC7D616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789">
      <w:bodyDiv w:val="1"/>
      <w:marLeft w:val="0"/>
      <w:marRight w:val="0"/>
      <w:marTop w:val="0"/>
      <w:marBottom w:val="0"/>
      <w:divBdr>
        <w:top w:val="none" w:sz="0" w:space="0" w:color="auto"/>
        <w:left w:val="none" w:sz="0" w:space="0" w:color="auto"/>
        <w:bottom w:val="none" w:sz="0" w:space="0" w:color="auto"/>
        <w:right w:val="none" w:sz="0" w:space="0" w:color="auto"/>
      </w:divBdr>
      <w:divsChild>
        <w:div w:id="1548181468">
          <w:marLeft w:val="0"/>
          <w:marRight w:val="0"/>
          <w:marTop w:val="0"/>
          <w:marBottom w:val="0"/>
          <w:divBdr>
            <w:top w:val="none" w:sz="0" w:space="0" w:color="auto"/>
            <w:left w:val="none" w:sz="0" w:space="0" w:color="auto"/>
            <w:bottom w:val="none" w:sz="0" w:space="0" w:color="auto"/>
            <w:right w:val="none" w:sz="0" w:space="0" w:color="auto"/>
          </w:divBdr>
        </w:div>
        <w:div w:id="321662562">
          <w:marLeft w:val="0"/>
          <w:marRight w:val="0"/>
          <w:marTop w:val="0"/>
          <w:marBottom w:val="0"/>
          <w:divBdr>
            <w:top w:val="none" w:sz="0" w:space="0" w:color="auto"/>
            <w:left w:val="none" w:sz="0" w:space="0" w:color="auto"/>
            <w:bottom w:val="none" w:sz="0" w:space="0" w:color="auto"/>
            <w:right w:val="none" w:sz="0" w:space="0" w:color="auto"/>
          </w:divBdr>
        </w:div>
        <w:div w:id="1006591246">
          <w:marLeft w:val="0"/>
          <w:marRight w:val="0"/>
          <w:marTop w:val="0"/>
          <w:marBottom w:val="0"/>
          <w:divBdr>
            <w:top w:val="none" w:sz="0" w:space="0" w:color="auto"/>
            <w:left w:val="none" w:sz="0" w:space="0" w:color="auto"/>
            <w:bottom w:val="none" w:sz="0" w:space="0" w:color="auto"/>
            <w:right w:val="none" w:sz="0" w:space="0" w:color="auto"/>
          </w:divBdr>
          <w:divsChild>
            <w:div w:id="2068919834">
              <w:marLeft w:val="0"/>
              <w:marRight w:val="0"/>
              <w:marTop w:val="0"/>
              <w:marBottom w:val="0"/>
              <w:divBdr>
                <w:top w:val="none" w:sz="0" w:space="0" w:color="auto"/>
                <w:left w:val="none" w:sz="0" w:space="0" w:color="auto"/>
                <w:bottom w:val="none" w:sz="0" w:space="0" w:color="auto"/>
                <w:right w:val="none" w:sz="0" w:space="0" w:color="auto"/>
              </w:divBdr>
            </w:div>
            <w:div w:id="144857327">
              <w:marLeft w:val="0"/>
              <w:marRight w:val="0"/>
              <w:marTop w:val="0"/>
              <w:marBottom w:val="0"/>
              <w:divBdr>
                <w:top w:val="none" w:sz="0" w:space="0" w:color="auto"/>
                <w:left w:val="none" w:sz="0" w:space="0" w:color="auto"/>
                <w:bottom w:val="none" w:sz="0" w:space="0" w:color="auto"/>
                <w:right w:val="none" w:sz="0" w:space="0" w:color="auto"/>
              </w:divBdr>
            </w:div>
            <w:div w:id="1570111987">
              <w:marLeft w:val="0"/>
              <w:marRight w:val="0"/>
              <w:marTop w:val="0"/>
              <w:marBottom w:val="0"/>
              <w:divBdr>
                <w:top w:val="none" w:sz="0" w:space="0" w:color="auto"/>
                <w:left w:val="none" w:sz="0" w:space="0" w:color="auto"/>
                <w:bottom w:val="none" w:sz="0" w:space="0" w:color="auto"/>
                <w:right w:val="none" w:sz="0" w:space="0" w:color="auto"/>
              </w:divBdr>
              <w:divsChild>
                <w:div w:id="1889486462">
                  <w:marLeft w:val="0"/>
                  <w:marRight w:val="0"/>
                  <w:marTop w:val="0"/>
                  <w:marBottom w:val="0"/>
                  <w:divBdr>
                    <w:top w:val="none" w:sz="0" w:space="0" w:color="auto"/>
                    <w:left w:val="none" w:sz="0" w:space="0" w:color="auto"/>
                    <w:bottom w:val="none" w:sz="0" w:space="0" w:color="auto"/>
                    <w:right w:val="none" w:sz="0" w:space="0" w:color="auto"/>
                  </w:divBdr>
                </w:div>
              </w:divsChild>
            </w:div>
            <w:div w:id="2042897335">
              <w:marLeft w:val="0"/>
              <w:marRight w:val="0"/>
              <w:marTop w:val="0"/>
              <w:marBottom w:val="0"/>
              <w:divBdr>
                <w:top w:val="none" w:sz="0" w:space="0" w:color="auto"/>
                <w:left w:val="none" w:sz="0" w:space="0" w:color="auto"/>
                <w:bottom w:val="none" w:sz="0" w:space="0" w:color="auto"/>
                <w:right w:val="none" w:sz="0" w:space="0" w:color="auto"/>
              </w:divBdr>
              <w:divsChild>
                <w:div w:id="1596865200">
                  <w:marLeft w:val="0"/>
                  <w:marRight w:val="0"/>
                  <w:marTop w:val="0"/>
                  <w:marBottom w:val="0"/>
                  <w:divBdr>
                    <w:top w:val="none" w:sz="0" w:space="0" w:color="auto"/>
                    <w:left w:val="none" w:sz="0" w:space="0" w:color="auto"/>
                    <w:bottom w:val="none" w:sz="0" w:space="0" w:color="auto"/>
                    <w:right w:val="none" w:sz="0" w:space="0" w:color="auto"/>
                  </w:divBdr>
                </w:div>
              </w:divsChild>
            </w:div>
            <w:div w:id="1723168870">
              <w:marLeft w:val="0"/>
              <w:marRight w:val="0"/>
              <w:marTop w:val="0"/>
              <w:marBottom w:val="0"/>
              <w:divBdr>
                <w:top w:val="none" w:sz="0" w:space="0" w:color="auto"/>
                <w:left w:val="none" w:sz="0" w:space="0" w:color="auto"/>
                <w:bottom w:val="none" w:sz="0" w:space="0" w:color="auto"/>
                <w:right w:val="none" w:sz="0" w:space="0" w:color="auto"/>
              </w:divBdr>
              <w:divsChild>
                <w:div w:id="727654673">
                  <w:marLeft w:val="0"/>
                  <w:marRight w:val="0"/>
                  <w:marTop w:val="0"/>
                  <w:marBottom w:val="0"/>
                  <w:divBdr>
                    <w:top w:val="none" w:sz="0" w:space="0" w:color="auto"/>
                    <w:left w:val="none" w:sz="0" w:space="0" w:color="auto"/>
                    <w:bottom w:val="none" w:sz="0" w:space="0" w:color="auto"/>
                    <w:right w:val="none" w:sz="0" w:space="0" w:color="auto"/>
                  </w:divBdr>
                </w:div>
                <w:div w:id="580454714">
                  <w:marLeft w:val="0"/>
                  <w:marRight w:val="0"/>
                  <w:marTop w:val="0"/>
                  <w:marBottom w:val="0"/>
                  <w:divBdr>
                    <w:top w:val="none" w:sz="0" w:space="0" w:color="auto"/>
                    <w:left w:val="none" w:sz="0" w:space="0" w:color="auto"/>
                    <w:bottom w:val="none" w:sz="0" w:space="0" w:color="auto"/>
                    <w:right w:val="none" w:sz="0" w:space="0" w:color="auto"/>
                  </w:divBdr>
                </w:div>
                <w:div w:id="40516118">
                  <w:marLeft w:val="0"/>
                  <w:marRight w:val="0"/>
                  <w:marTop w:val="0"/>
                  <w:marBottom w:val="0"/>
                  <w:divBdr>
                    <w:top w:val="none" w:sz="0" w:space="0" w:color="auto"/>
                    <w:left w:val="none" w:sz="0" w:space="0" w:color="auto"/>
                    <w:bottom w:val="none" w:sz="0" w:space="0" w:color="auto"/>
                    <w:right w:val="none" w:sz="0" w:space="0" w:color="auto"/>
                  </w:divBdr>
                </w:div>
                <w:div w:id="1787188506">
                  <w:marLeft w:val="0"/>
                  <w:marRight w:val="0"/>
                  <w:marTop w:val="0"/>
                  <w:marBottom w:val="0"/>
                  <w:divBdr>
                    <w:top w:val="none" w:sz="0" w:space="0" w:color="auto"/>
                    <w:left w:val="none" w:sz="0" w:space="0" w:color="auto"/>
                    <w:bottom w:val="none" w:sz="0" w:space="0" w:color="auto"/>
                    <w:right w:val="none" w:sz="0" w:space="0" w:color="auto"/>
                  </w:divBdr>
                </w:div>
              </w:divsChild>
            </w:div>
            <w:div w:id="141775245">
              <w:marLeft w:val="0"/>
              <w:marRight w:val="0"/>
              <w:marTop w:val="0"/>
              <w:marBottom w:val="0"/>
              <w:divBdr>
                <w:top w:val="none" w:sz="0" w:space="0" w:color="auto"/>
                <w:left w:val="none" w:sz="0" w:space="0" w:color="auto"/>
                <w:bottom w:val="none" w:sz="0" w:space="0" w:color="auto"/>
                <w:right w:val="none" w:sz="0" w:space="0" w:color="auto"/>
              </w:divBdr>
              <w:divsChild>
                <w:div w:id="171997369">
                  <w:marLeft w:val="0"/>
                  <w:marRight w:val="0"/>
                  <w:marTop w:val="0"/>
                  <w:marBottom w:val="0"/>
                  <w:divBdr>
                    <w:top w:val="none" w:sz="0" w:space="0" w:color="auto"/>
                    <w:left w:val="none" w:sz="0" w:space="0" w:color="auto"/>
                    <w:bottom w:val="none" w:sz="0" w:space="0" w:color="auto"/>
                    <w:right w:val="none" w:sz="0" w:space="0" w:color="auto"/>
                  </w:divBdr>
                </w:div>
                <w:div w:id="1990472105">
                  <w:marLeft w:val="0"/>
                  <w:marRight w:val="0"/>
                  <w:marTop w:val="0"/>
                  <w:marBottom w:val="0"/>
                  <w:divBdr>
                    <w:top w:val="none" w:sz="0" w:space="0" w:color="auto"/>
                    <w:left w:val="none" w:sz="0" w:space="0" w:color="auto"/>
                    <w:bottom w:val="none" w:sz="0" w:space="0" w:color="auto"/>
                    <w:right w:val="none" w:sz="0" w:space="0" w:color="auto"/>
                  </w:divBdr>
                </w:div>
                <w:div w:id="918056458">
                  <w:marLeft w:val="0"/>
                  <w:marRight w:val="0"/>
                  <w:marTop w:val="0"/>
                  <w:marBottom w:val="0"/>
                  <w:divBdr>
                    <w:top w:val="none" w:sz="0" w:space="0" w:color="auto"/>
                    <w:left w:val="none" w:sz="0" w:space="0" w:color="auto"/>
                    <w:bottom w:val="none" w:sz="0" w:space="0" w:color="auto"/>
                    <w:right w:val="none" w:sz="0" w:space="0" w:color="auto"/>
                  </w:divBdr>
                </w:div>
                <w:div w:id="621612540">
                  <w:marLeft w:val="0"/>
                  <w:marRight w:val="0"/>
                  <w:marTop w:val="0"/>
                  <w:marBottom w:val="0"/>
                  <w:divBdr>
                    <w:top w:val="none" w:sz="0" w:space="0" w:color="auto"/>
                    <w:left w:val="none" w:sz="0" w:space="0" w:color="auto"/>
                    <w:bottom w:val="none" w:sz="0" w:space="0" w:color="auto"/>
                    <w:right w:val="none" w:sz="0" w:space="0" w:color="auto"/>
                  </w:divBdr>
                </w:div>
                <w:div w:id="2118065612">
                  <w:marLeft w:val="0"/>
                  <w:marRight w:val="0"/>
                  <w:marTop w:val="0"/>
                  <w:marBottom w:val="0"/>
                  <w:divBdr>
                    <w:top w:val="none" w:sz="0" w:space="0" w:color="auto"/>
                    <w:left w:val="none" w:sz="0" w:space="0" w:color="auto"/>
                    <w:bottom w:val="none" w:sz="0" w:space="0" w:color="auto"/>
                    <w:right w:val="none" w:sz="0" w:space="0" w:color="auto"/>
                  </w:divBdr>
                </w:div>
                <w:div w:id="769936186">
                  <w:marLeft w:val="0"/>
                  <w:marRight w:val="0"/>
                  <w:marTop w:val="0"/>
                  <w:marBottom w:val="0"/>
                  <w:divBdr>
                    <w:top w:val="none" w:sz="0" w:space="0" w:color="auto"/>
                    <w:left w:val="none" w:sz="0" w:space="0" w:color="auto"/>
                    <w:bottom w:val="none" w:sz="0" w:space="0" w:color="auto"/>
                    <w:right w:val="none" w:sz="0" w:space="0" w:color="auto"/>
                  </w:divBdr>
                </w:div>
                <w:div w:id="218591483">
                  <w:marLeft w:val="0"/>
                  <w:marRight w:val="0"/>
                  <w:marTop w:val="0"/>
                  <w:marBottom w:val="0"/>
                  <w:divBdr>
                    <w:top w:val="none" w:sz="0" w:space="0" w:color="auto"/>
                    <w:left w:val="none" w:sz="0" w:space="0" w:color="auto"/>
                    <w:bottom w:val="none" w:sz="0" w:space="0" w:color="auto"/>
                    <w:right w:val="none" w:sz="0" w:space="0" w:color="auto"/>
                  </w:divBdr>
                </w:div>
              </w:divsChild>
            </w:div>
            <w:div w:id="839199621">
              <w:marLeft w:val="0"/>
              <w:marRight w:val="0"/>
              <w:marTop w:val="0"/>
              <w:marBottom w:val="0"/>
              <w:divBdr>
                <w:top w:val="none" w:sz="0" w:space="0" w:color="auto"/>
                <w:left w:val="none" w:sz="0" w:space="0" w:color="auto"/>
                <w:bottom w:val="none" w:sz="0" w:space="0" w:color="auto"/>
                <w:right w:val="none" w:sz="0" w:space="0" w:color="auto"/>
              </w:divBdr>
              <w:divsChild>
                <w:div w:id="1006127679">
                  <w:marLeft w:val="0"/>
                  <w:marRight w:val="0"/>
                  <w:marTop w:val="0"/>
                  <w:marBottom w:val="0"/>
                  <w:divBdr>
                    <w:top w:val="none" w:sz="0" w:space="0" w:color="auto"/>
                    <w:left w:val="none" w:sz="0" w:space="0" w:color="auto"/>
                    <w:bottom w:val="none" w:sz="0" w:space="0" w:color="auto"/>
                    <w:right w:val="none" w:sz="0" w:space="0" w:color="auto"/>
                  </w:divBdr>
                </w:div>
                <w:div w:id="1928028452">
                  <w:marLeft w:val="0"/>
                  <w:marRight w:val="0"/>
                  <w:marTop w:val="0"/>
                  <w:marBottom w:val="0"/>
                  <w:divBdr>
                    <w:top w:val="none" w:sz="0" w:space="0" w:color="auto"/>
                    <w:left w:val="none" w:sz="0" w:space="0" w:color="auto"/>
                    <w:bottom w:val="none" w:sz="0" w:space="0" w:color="auto"/>
                    <w:right w:val="none" w:sz="0" w:space="0" w:color="auto"/>
                  </w:divBdr>
                </w:div>
              </w:divsChild>
            </w:div>
            <w:div w:id="346446959">
              <w:marLeft w:val="0"/>
              <w:marRight w:val="0"/>
              <w:marTop w:val="0"/>
              <w:marBottom w:val="0"/>
              <w:divBdr>
                <w:top w:val="none" w:sz="0" w:space="0" w:color="auto"/>
                <w:left w:val="none" w:sz="0" w:space="0" w:color="auto"/>
                <w:bottom w:val="none" w:sz="0" w:space="0" w:color="auto"/>
                <w:right w:val="none" w:sz="0" w:space="0" w:color="auto"/>
              </w:divBdr>
              <w:divsChild>
                <w:div w:id="533856872">
                  <w:marLeft w:val="0"/>
                  <w:marRight w:val="0"/>
                  <w:marTop w:val="0"/>
                  <w:marBottom w:val="0"/>
                  <w:divBdr>
                    <w:top w:val="none" w:sz="0" w:space="0" w:color="auto"/>
                    <w:left w:val="none" w:sz="0" w:space="0" w:color="auto"/>
                    <w:bottom w:val="none" w:sz="0" w:space="0" w:color="auto"/>
                    <w:right w:val="none" w:sz="0" w:space="0" w:color="auto"/>
                  </w:divBdr>
                </w:div>
                <w:div w:id="1218318351">
                  <w:marLeft w:val="0"/>
                  <w:marRight w:val="0"/>
                  <w:marTop w:val="0"/>
                  <w:marBottom w:val="0"/>
                  <w:divBdr>
                    <w:top w:val="none" w:sz="0" w:space="0" w:color="auto"/>
                    <w:left w:val="none" w:sz="0" w:space="0" w:color="auto"/>
                    <w:bottom w:val="none" w:sz="0" w:space="0" w:color="auto"/>
                    <w:right w:val="none" w:sz="0" w:space="0" w:color="auto"/>
                  </w:divBdr>
                </w:div>
                <w:div w:id="670371292">
                  <w:marLeft w:val="0"/>
                  <w:marRight w:val="0"/>
                  <w:marTop w:val="0"/>
                  <w:marBottom w:val="0"/>
                  <w:divBdr>
                    <w:top w:val="none" w:sz="0" w:space="0" w:color="auto"/>
                    <w:left w:val="none" w:sz="0" w:space="0" w:color="auto"/>
                    <w:bottom w:val="none" w:sz="0" w:space="0" w:color="auto"/>
                    <w:right w:val="none" w:sz="0" w:space="0" w:color="auto"/>
                  </w:divBdr>
                </w:div>
                <w:div w:id="1020206752">
                  <w:marLeft w:val="0"/>
                  <w:marRight w:val="0"/>
                  <w:marTop w:val="0"/>
                  <w:marBottom w:val="0"/>
                  <w:divBdr>
                    <w:top w:val="none" w:sz="0" w:space="0" w:color="auto"/>
                    <w:left w:val="none" w:sz="0" w:space="0" w:color="auto"/>
                    <w:bottom w:val="none" w:sz="0" w:space="0" w:color="auto"/>
                    <w:right w:val="none" w:sz="0" w:space="0" w:color="auto"/>
                  </w:divBdr>
                </w:div>
                <w:div w:id="1767455731">
                  <w:marLeft w:val="0"/>
                  <w:marRight w:val="0"/>
                  <w:marTop w:val="0"/>
                  <w:marBottom w:val="0"/>
                  <w:divBdr>
                    <w:top w:val="none" w:sz="0" w:space="0" w:color="auto"/>
                    <w:left w:val="none" w:sz="0" w:space="0" w:color="auto"/>
                    <w:bottom w:val="none" w:sz="0" w:space="0" w:color="auto"/>
                    <w:right w:val="none" w:sz="0" w:space="0" w:color="auto"/>
                  </w:divBdr>
                </w:div>
                <w:div w:id="1945381777">
                  <w:marLeft w:val="0"/>
                  <w:marRight w:val="0"/>
                  <w:marTop w:val="0"/>
                  <w:marBottom w:val="0"/>
                  <w:divBdr>
                    <w:top w:val="none" w:sz="0" w:space="0" w:color="auto"/>
                    <w:left w:val="none" w:sz="0" w:space="0" w:color="auto"/>
                    <w:bottom w:val="none" w:sz="0" w:space="0" w:color="auto"/>
                    <w:right w:val="none" w:sz="0" w:space="0" w:color="auto"/>
                  </w:divBdr>
                </w:div>
                <w:div w:id="2038461569">
                  <w:marLeft w:val="0"/>
                  <w:marRight w:val="0"/>
                  <w:marTop w:val="0"/>
                  <w:marBottom w:val="0"/>
                  <w:divBdr>
                    <w:top w:val="none" w:sz="0" w:space="0" w:color="auto"/>
                    <w:left w:val="none" w:sz="0" w:space="0" w:color="auto"/>
                    <w:bottom w:val="none" w:sz="0" w:space="0" w:color="auto"/>
                    <w:right w:val="none" w:sz="0" w:space="0" w:color="auto"/>
                  </w:divBdr>
                </w:div>
              </w:divsChild>
            </w:div>
            <w:div w:id="101271899">
              <w:marLeft w:val="0"/>
              <w:marRight w:val="0"/>
              <w:marTop w:val="0"/>
              <w:marBottom w:val="0"/>
              <w:divBdr>
                <w:top w:val="none" w:sz="0" w:space="0" w:color="auto"/>
                <w:left w:val="none" w:sz="0" w:space="0" w:color="auto"/>
                <w:bottom w:val="none" w:sz="0" w:space="0" w:color="auto"/>
                <w:right w:val="none" w:sz="0" w:space="0" w:color="auto"/>
              </w:divBdr>
              <w:divsChild>
                <w:div w:id="898633047">
                  <w:marLeft w:val="0"/>
                  <w:marRight w:val="0"/>
                  <w:marTop w:val="0"/>
                  <w:marBottom w:val="0"/>
                  <w:divBdr>
                    <w:top w:val="none" w:sz="0" w:space="0" w:color="auto"/>
                    <w:left w:val="none" w:sz="0" w:space="0" w:color="auto"/>
                    <w:bottom w:val="none" w:sz="0" w:space="0" w:color="auto"/>
                    <w:right w:val="none" w:sz="0" w:space="0" w:color="auto"/>
                  </w:divBdr>
                </w:div>
                <w:div w:id="1461072138">
                  <w:marLeft w:val="0"/>
                  <w:marRight w:val="0"/>
                  <w:marTop w:val="0"/>
                  <w:marBottom w:val="0"/>
                  <w:divBdr>
                    <w:top w:val="none" w:sz="0" w:space="0" w:color="auto"/>
                    <w:left w:val="none" w:sz="0" w:space="0" w:color="auto"/>
                    <w:bottom w:val="none" w:sz="0" w:space="0" w:color="auto"/>
                    <w:right w:val="none" w:sz="0" w:space="0" w:color="auto"/>
                  </w:divBdr>
                </w:div>
                <w:div w:id="1737900162">
                  <w:marLeft w:val="0"/>
                  <w:marRight w:val="0"/>
                  <w:marTop w:val="0"/>
                  <w:marBottom w:val="0"/>
                  <w:divBdr>
                    <w:top w:val="none" w:sz="0" w:space="0" w:color="auto"/>
                    <w:left w:val="none" w:sz="0" w:space="0" w:color="auto"/>
                    <w:bottom w:val="none" w:sz="0" w:space="0" w:color="auto"/>
                    <w:right w:val="none" w:sz="0" w:space="0" w:color="auto"/>
                  </w:divBdr>
                </w:div>
                <w:div w:id="1453793249">
                  <w:marLeft w:val="0"/>
                  <w:marRight w:val="0"/>
                  <w:marTop w:val="0"/>
                  <w:marBottom w:val="0"/>
                  <w:divBdr>
                    <w:top w:val="none" w:sz="0" w:space="0" w:color="auto"/>
                    <w:left w:val="none" w:sz="0" w:space="0" w:color="auto"/>
                    <w:bottom w:val="none" w:sz="0" w:space="0" w:color="auto"/>
                    <w:right w:val="none" w:sz="0" w:space="0" w:color="auto"/>
                  </w:divBdr>
                </w:div>
                <w:div w:id="304892068">
                  <w:marLeft w:val="0"/>
                  <w:marRight w:val="0"/>
                  <w:marTop w:val="0"/>
                  <w:marBottom w:val="0"/>
                  <w:divBdr>
                    <w:top w:val="none" w:sz="0" w:space="0" w:color="auto"/>
                    <w:left w:val="none" w:sz="0" w:space="0" w:color="auto"/>
                    <w:bottom w:val="none" w:sz="0" w:space="0" w:color="auto"/>
                    <w:right w:val="none" w:sz="0" w:space="0" w:color="auto"/>
                  </w:divBdr>
                </w:div>
                <w:div w:id="1445230042">
                  <w:marLeft w:val="0"/>
                  <w:marRight w:val="0"/>
                  <w:marTop w:val="0"/>
                  <w:marBottom w:val="0"/>
                  <w:divBdr>
                    <w:top w:val="none" w:sz="0" w:space="0" w:color="auto"/>
                    <w:left w:val="none" w:sz="0" w:space="0" w:color="auto"/>
                    <w:bottom w:val="none" w:sz="0" w:space="0" w:color="auto"/>
                    <w:right w:val="none" w:sz="0" w:space="0" w:color="auto"/>
                  </w:divBdr>
                </w:div>
                <w:div w:id="1343437150">
                  <w:marLeft w:val="0"/>
                  <w:marRight w:val="0"/>
                  <w:marTop w:val="0"/>
                  <w:marBottom w:val="0"/>
                  <w:divBdr>
                    <w:top w:val="none" w:sz="0" w:space="0" w:color="auto"/>
                    <w:left w:val="none" w:sz="0" w:space="0" w:color="auto"/>
                    <w:bottom w:val="none" w:sz="0" w:space="0" w:color="auto"/>
                    <w:right w:val="none" w:sz="0" w:space="0" w:color="auto"/>
                  </w:divBdr>
                </w:div>
                <w:div w:id="660541094">
                  <w:marLeft w:val="0"/>
                  <w:marRight w:val="0"/>
                  <w:marTop w:val="0"/>
                  <w:marBottom w:val="0"/>
                  <w:divBdr>
                    <w:top w:val="none" w:sz="0" w:space="0" w:color="auto"/>
                    <w:left w:val="none" w:sz="0" w:space="0" w:color="auto"/>
                    <w:bottom w:val="none" w:sz="0" w:space="0" w:color="auto"/>
                    <w:right w:val="none" w:sz="0" w:space="0" w:color="auto"/>
                  </w:divBdr>
                </w:div>
              </w:divsChild>
            </w:div>
            <w:div w:id="11523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4076</Words>
  <Characters>24456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2019-07-04T10:06:00Z</dcterms:created>
  <dcterms:modified xsi:type="dcterms:W3CDTF">2019-07-04T10:06:00Z</dcterms:modified>
</cp:coreProperties>
</file>